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F476D" w14:textId="77777777" w:rsidR="00F03406" w:rsidRPr="00F03406" w:rsidRDefault="00F03406" w:rsidP="00F03406">
      <w:pPr>
        <w:pStyle w:val="2"/>
        <w:keepLines w:val="0"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567"/>
        </w:tabs>
        <w:spacing w:before="240"/>
        <w:rPr>
          <w:rFonts w:ascii="Calibri" w:eastAsia="Times New Roman" w:hAnsi="Calibri" w:cs="Arial"/>
          <w:b/>
          <w:color w:val="002060"/>
          <w:sz w:val="24"/>
          <w:szCs w:val="22"/>
          <w:lang w:val="el-GR"/>
        </w:rPr>
      </w:pPr>
      <w:r w:rsidRPr="00F03406">
        <w:rPr>
          <w:rFonts w:ascii="Calibri" w:eastAsia="Times New Roman" w:hAnsi="Calibri" w:cs="Arial"/>
          <w:b/>
          <w:color w:val="002060"/>
          <w:sz w:val="24"/>
          <w:szCs w:val="22"/>
          <w:lang w:val="el-GR"/>
        </w:rPr>
        <w:t>ΠΑΡΑΡΤΗΜΑ V – Υπόδειγμα Τεχνικής Προσφοράς – Πίνακας Συμμόρφωσης</w:t>
      </w:r>
    </w:p>
    <w:p w14:paraId="2C53F678" w14:textId="77777777" w:rsidR="00F03406" w:rsidRDefault="00F03406" w:rsidP="00F03406">
      <w:pPr>
        <w:pBdr>
          <w:top w:val="nil"/>
          <w:left w:val="nil"/>
          <w:bottom w:val="nil"/>
          <w:right w:val="nil"/>
          <w:between w:val="nil"/>
        </w:pBdr>
        <w:spacing w:after="19"/>
        <w:ind w:left="-5"/>
        <w:rPr>
          <w:lang w:val="el-GR"/>
        </w:rPr>
      </w:pPr>
      <w:r w:rsidRPr="00E03029">
        <w:rPr>
          <w:lang w:val="el-GR"/>
        </w:rPr>
        <w:t>Κατά την υποβολή της Τεχνικής προσφοράς πρέπει να συμπληρωθούν οι παρακάτω Πίνακες Απαιτήσεων –</w:t>
      </w:r>
    </w:p>
    <w:p w14:paraId="2C231337" w14:textId="77777777" w:rsidR="00F03406" w:rsidRDefault="00F03406" w:rsidP="00F03406">
      <w:pPr>
        <w:pBdr>
          <w:top w:val="nil"/>
          <w:left w:val="nil"/>
          <w:bottom w:val="nil"/>
          <w:right w:val="nil"/>
          <w:between w:val="nil"/>
        </w:pBdr>
        <w:spacing w:after="19"/>
        <w:ind w:left="-5"/>
        <w:rPr>
          <w:lang w:val="el-GR"/>
        </w:rPr>
      </w:pPr>
      <w:r w:rsidRPr="00E03029">
        <w:rPr>
          <w:lang w:val="el-GR"/>
        </w:rPr>
        <w:t>Πίνακες Συμμόρφωσης</w:t>
      </w:r>
      <w:r>
        <w:rPr>
          <w:lang w:val="el-GR"/>
        </w:rPr>
        <w:t>.</w:t>
      </w:r>
    </w:p>
    <w:p w14:paraId="58A4F29B" w14:textId="77777777" w:rsidR="00F03406" w:rsidRPr="002E7739" w:rsidRDefault="00F03406" w:rsidP="00F03406">
      <w:pPr>
        <w:suppressAutoHyphens w:val="0"/>
        <w:spacing w:after="0"/>
        <w:jc w:val="left"/>
        <w:rPr>
          <w:rFonts w:cs="Times New Roman"/>
          <w:lang w:val="el-GR" w:eastAsia="el-GR"/>
        </w:rPr>
      </w:pP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823"/>
        <w:gridCol w:w="5093"/>
        <w:gridCol w:w="1316"/>
        <w:gridCol w:w="1295"/>
        <w:gridCol w:w="1679"/>
      </w:tblGrid>
      <w:tr w:rsidR="00F03406" w:rsidRPr="002E7739" w14:paraId="415A3D94" w14:textId="77777777" w:rsidTr="000A1635">
        <w:trPr>
          <w:trHeight w:val="537"/>
        </w:trPr>
        <w:tc>
          <w:tcPr>
            <w:tcW w:w="10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4AFC050A" w14:textId="77777777" w:rsidR="00F03406" w:rsidRPr="002E7739" w:rsidRDefault="00F03406" w:rsidP="000A163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 w:bidi="he-IL"/>
              </w:rPr>
            </w:pPr>
            <w:r w:rsidRPr="002E7739">
              <w:rPr>
                <w:b/>
                <w:bCs/>
                <w:color w:val="000000"/>
                <w:szCs w:val="22"/>
                <w:lang w:val="el-GR" w:eastAsia="el-GR" w:bidi="he-IL"/>
              </w:rPr>
              <w:t xml:space="preserve">Ομάδα Α: Environmental test chambers (Περιβαλλοντικοί θάλαμοι δοκιμών) </w:t>
            </w:r>
          </w:p>
        </w:tc>
      </w:tr>
      <w:tr w:rsidR="00F03406" w:rsidRPr="002E7739" w14:paraId="1C65B500" w14:textId="77777777" w:rsidTr="000A1635">
        <w:trPr>
          <w:trHeight w:val="537"/>
        </w:trPr>
        <w:tc>
          <w:tcPr>
            <w:tcW w:w="10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3DF934A7" w14:textId="77777777" w:rsidR="00F03406" w:rsidRPr="002E7739" w:rsidRDefault="00F03406" w:rsidP="000A163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 w:bidi="he-IL"/>
              </w:rPr>
            </w:pPr>
            <w:r w:rsidRPr="002E7739">
              <w:rPr>
                <w:b/>
                <w:bCs/>
                <w:color w:val="000000"/>
                <w:szCs w:val="22"/>
                <w:lang w:val="el-GR" w:eastAsia="el-GR" w:bidi="he-IL"/>
              </w:rPr>
              <w:t>Α. Προμήθεια για αγορά Περιβαλλοντικού θαλάμου δοκιμών</w:t>
            </w:r>
          </w:p>
        </w:tc>
      </w:tr>
      <w:tr w:rsidR="00F03406" w:rsidRPr="002E7739" w14:paraId="4B2F78F8" w14:textId="77777777" w:rsidTr="000A1635">
        <w:trPr>
          <w:trHeight w:val="537"/>
        </w:trPr>
        <w:tc>
          <w:tcPr>
            <w:tcW w:w="8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4DD7BAC" w14:textId="77777777" w:rsidR="00F03406" w:rsidRPr="002E7739" w:rsidRDefault="00F03406" w:rsidP="000A163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b/>
                <w:bCs/>
                <w:color w:val="000000"/>
                <w:sz w:val="20"/>
                <w:szCs w:val="20"/>
                <w:lang w:val="el-GR" w:eastAsia="el-GR" w:bidi="he-IL"/>
              </w:rPr>
              <w:t>Α/Α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FDE3194" w14:textId="77777777" w:rsidR="00F03406" w:rsidRPr="002E7739" w:rsidRDefault="00F03406" w:rsidP="000A163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b/>
                <w:bCs/>
                <w:color w:val="000000"/>
                <w:sz w:val="20"/>
                <w:szCs w:val="20"/>
                <w:lang w:val="el-GR" w:eastAsia="el-GR" w:bidi="he-IL"/>
              </w:rPr>
              <w:t>Περιγραφή/ Προδιαγραφές</w:t>
            </w:r>
          </w:p>
        </w:tc>
        <w:tc>
          <w:tcPr>
            <w:tcW w:w="1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A20C82B" w14:textId="77777777" w:rsidR="00F03406" w:rsidRPr="002E7739" w:rsidRDefault="00F03406" w:rsidP="000A163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b/>
                <w:bCs/>
                <w:color w:val="000000"/>
                <w:sz w:val="20"/>
                <w:szCs w:val="20"/>
                <w:lang w:val="el-GR" w:eastAsia="el-GR" w:bidi="he-IL"/>
              </w:rPr>
              <w:t>Υποχρεωτική Απαίτηση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6ABE572" w14:textId="77777777" w:rsidR="00F03406" w:rsidRPr="002E7739" w:rsidRDefault="00F03406" w:rsidP="000A163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b/>
                <w:bCs/>
                <w:color w:val="000000"/>
                <w:sz w:val="20"/>
                <w:szCs w:val="20"/>
                <w:lang w:val="el-GR" w:eastAsia="el-GR" w:bidi="he-IL"/>
              </w:rPr>
              <w:t>Απάντηση Προμηθευτή</w:t>
            </w:r>
          </w:p>
        </w:tc>
        <w:tc>
          <w:tcPr>
            <w:tcW w:w="1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B8E3FB8" w14:textId="77777777" w:rsidR="00F03406" w:rsidRPr="002E7739" w:rsidRDefault="00F03406" w:rsidP="000A163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b/>
                <w:bCs/>
                <w:color w:val="000000"/>
                <w:sz w:val="20"/>
                <w:szCs w:val="20"/>
                <w:lang w:val="el-GR" w:eastAsia="el-GR" w:bidi="he-IL"/>
              </w:rPr>
              <w:t>Παραπομπές σε Τεχνικά Φυλλάδια, ή/και Σχόλια</w:t>
            </w:r>
          </w:p>
        </w:tc>
      </w:tr>
      <w:tr w:rsidR="00F03406" w:rsidRPr="002E7739" w14:paraId="4F29BBA9" w14:textId="77777777" w:rsidTr="000A1635">
        <w:trPr>
          <w:trHeight w:val="537"/>
        </w:trPr>
        <w:tc>
          <w:tcPr>
            <w:tcW w:w="8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409722" w14:textId="77777777" w:rsidR="00F03406" w:rsidRPr="002E7739" w:rsidRDefault="00F03406" w:rsidP="000A163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b/>
                <w:bCs/>
                <w:color w:val="000000"/>
                <w:sz w:val="20"/>
                <w:szCs w:val="20"/>
                <w:lang w:val="el-GR" w:eastAsia="el-GR" w:bidi="he-IL"/>
              </w:rPr>
              <w:t>1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2F9C7" w14:textId="77777777" w:rsidR="00F03406" w:rsidRPr="002E7739" w:rsidRDefault="00F03406" w:rsidP="000A1635">
            <w:pPr>
              <w:suppressAutoHyphens w:val="0"/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b/>
                <w:bCs/>
                <w:color w:val="000000"/>
                <w:sz w:val="20"/>
                <w:szCs w:val="20"/>
                <w:lang w:val="el-GR" w:eastAsia="el-GR" w:bidi="he-IL"/>
              </w:rPr>
              <w:t>Προσφερόμενος αριθμός ΘΑΛΑΜΩΝ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4F5AD" w14:textId="77777777" w:rsidR="00F03406" w:rsidRPr="002E7739" w:rsidRDefault="00F03406" w:rsidP="000A163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b/>
                <w:bCs/>
                <w:color w:val="000000"/>
                <w:sz w:val="20"/>
                <w:szCs w:val="20"/>
                <w:lang w:val="el-GR" w:eastAsia="el-GR" w:bidi="he-IL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B31B209" w14:textId="77777777" w:rsidR="00F03406" w:rsidRPr="002E7739" w:rsidRDefault="00F03406" w:rsidP="000A1635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C87C1FD" w14:textId="77777777" w:rsidR="00F03406" w:rsidRPr="002E7739" w:rsidRDefault="00F03406" w:rsidP="000A1635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 </w:t>
            </w:r>
          </w:p>
        </w:tc>
      </w:tr>
      <w:tr w:rsidR="00F03406" w:rsidRPr="002E7739" w14:paraId="0BF3A751" w14:textId="77777777" w:rsidTr="000A1635">
        <w:trPr>
          <w:trHeight w:val="537"/>
        </w:trPr>
        <w:tc>
          <w:tcPr>
            <w:tcW w:w="8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111771" w14:textId="77777777" w:rsidR="00F03406" w:rsidRPr="002E7739" w:rsidRDefault="00F03406" w:rsidP="000A163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rFonts w:eastAsia="Aptos"/>
                <w:color w:val="000000"/>
                <w:kern w:val="2"/>
                <w:sz w:val="20"/>
                <w:szCs w:val="20"/>
                <w:lang w:val="el-GR" w:eastAsia="en-US" w:bidi="he-IL"/>
              </w:rPr>
              <w:t>1.1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D03BF" w14:textId="77777777" w:rsidR="00F03406" w:rsidRPr="002E7739" w:rsidRDefault="00F03406" w:rsidP="000A1635">
            <w:pPr>
              <w:suppressAutoHyphens w:val="0"/>
              <w:spacing w:after="0"/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Θάλαμος Ελεγχόμενου περιβάλλοντος με διαστάσεις καθαρού χώρου 25 m²και με εσωτερικό ύψος 2,8 m.  </w:t>
            </w:r>
          </w:p>
          <w:p w14:paraId="77458AFA" w14:textId="77777777" w:rsidR="00F03406" w:rsidRPr="002E7739" w:rsidRDefault="00F03406" w:rsidP="00F03406">
            <w:pPr>
              <w:numPr>
                <w:ilvl w:val="0"/>
                <w:numId w:val="1"/>
              </w:numPr>
              <w:suppressAutoHyphens w:val="0"/>
              <w:spacing w:after="0" w:line="259" w:lineRule="auto"/>
              <w:ind w:left="315"/>
              <w:contextualSpacing/>
              <w:jc w:val="left"/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Υλικό σκελετού: Αλουμίνιο ή γαλβανισμένος σίδηρος </w:t>
            </w:r>
          </w:p>
          <w:p w14:paraId="41F19BCC" w14:textId="77777777" w:rsidR="00F03406" w:rsidRPr="002E7739" w:rsidRDefault="00F03406" w:rsidP="00F03406">
            <w:pPr>
              <w:numPr>
                <w:ilvl w:val="0"/>
                <w:numId w:val="1"/>
              </w:numPr>
              <w:suppressAutoHyphens w:val="0"/>
              <w:spacing w:after="0" w:line="259" w:lineRule="auto"/>
              <w:ind w:left="315"/>
              <w:contextualSpacing/>
              <w:jc w:val="left"/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Εξωτερική επένδυση από θερμομονωτικά πάνελ Θερμομονωτικά Πάνελ από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Πολυουρεθάνη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 (PUR) ή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Πολυισοκυανουρικό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 (PIR) με Πάχος: 6–10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cm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, και Συντελεστή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θερμοπερατότητας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 (U-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value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): ≤ 0.25 W/m²K με Προστατευτικό φύλλο αλουμινίου λευκού χρωματισμού, υγειονομικού τύπου </w:t>
            </w:r>
          </w:p>
          <w:p w14:paraId="6CF2A810" w14:textId="77777777" w:rsidR="00F03406" w:rsidRPr="002E7739" w:rsidRDefault="00F03406" w:rsidP="00F03406">
            <w:pPr>
              <w:numPr>
                <w:ilvl w:val="0"/>
                <w:numId w:val="1"/>
              </w:numPr>
              <w:suppressAutoHyphens w:val="0"/>
              <w:spacing w:after="0" w:line="259" w:lineRule="auto"/>
              <w:ind w:left="315"/>
              <w:contextualSpacing/>
              <w:jc w:val="left"/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Εσωτερική επένδυση από θερμομονωτικά πάνελ ανθεκτικά στην υγρασία, λείου φινιρίσματος, υγειονομικού χαρακτήρα και εύκολα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καθαριζόμενα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 </w:t>
            </w:r>
          </w:p>
          <w:p w14:paraId="34266E8A" w14:textId="77777777" w:rsidR="00F03406" w:rsidRPr="002E7739" w:rsidRDefault="00F03406" w:rsidP="00F03406">
            <w:pPr>
              <w:numPr>
                <w:ilvl w:val="0"/>
                <w:numId w:val="1"/>
              </w:numPr>
              <w:suppressAutoHyphens w:val="0"/>
              <w:spacing w:after="0" w:line="259" w:lineRule="auto"/>
              <w:ind w:left="315"/>
              <w:contextualSpacing/>
              <w:jc w:val="left"/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Εσωτερικές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ραφιέρες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 τεσσάρων (4) επιπέδων για κάθετη καλλιέργεια. </w:t>
            </w:r>
          </w:p>
          <w:p w14:paraId="416B805F" w14:textId="77777777" w:rsidR="00F03406" w:rsidRPr="002E7739" w:rsidRDefault="00F03406" w:rsidP="00F03406">
            <w:pPr>
              <w:numPr>
                <w:ilvl w:val="0"/>
                <w:numId w:val="1"/>
              </w:numPr>
              <w:suppressAutoHyphens w:val="0"/>
              <w:spacing w:after="0" w:line="259" w:lineRule="auto"/>
              <w:ind w:left="315"/>
              <w:contextualSpacing/>
              <w:jc w:val="left"/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Σύστημα ελέγχου Θερμοκρασίας και Υγρασίας με Εύρος θερμοκρασίας λειτουργίας: 17–25°C, ακρίβεια ±1°CΕύρος υγρασίας: 45%–75% RH, ακρίβεια ±5% </w:t>
            </w:r>
          </w:p>
          <w:p w14:paraId="542886FD" w14:textId="77777777" w:rsidR="00F03406" w:rsidRPr="002E7739" w:rsidRDefault="00F03406" w:rsidP="00F03406">
            <w:pPr>
              <w:numPr>
                <w:ilvl w:val="0"/>
                <w:numId w:val="1"/>
              </w:numPr>
              <w:suppressAutoHyphens w:val="0"/>
              <w:spacing w:after="0" w:line="259" w:lineRule="auto"/>
              <w:ind w:left="315"/>
              <w:contextualSpacing/>
              <w:jc w:val="left"/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Ψηφιακοί ελεγκτές θερμοκρασίας και υγρασίας, με αυτόματο υγραντήρα και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αφυγραντήρα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 </w:t>
            </w:r>
          </w:p>
          <w:p w14:paraId="31CF86E1" w14:textId="77777777" w:rsidR="00F03406" w:rsidRPr="002E7739" w:rsidRDefault="00F03406" w:rsidP="00F03406">
            <w:pPr>
              <w:numPr>
                <w:ilvl w:val="0"/>
                <w:numId w:val="1"/>
              </w:numPr>
              <w:suppressAutoHyphens w:val="0"/>
              <w:spacing w:after="0" w:line="259" w:lineRule="auto"/>
              <w:ind w:left="315"/>
              <w:contextualSpacing/>
              <w:jc w:val="left"/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Δυνατότητα απομακρυσμένης παρακολούθησης και ρύθμισης μέσω συστήματος PLC ή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IoT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 πλατφόρμας . Ανεμιστήρες εισαγωγής φρέσκου αέρα και εξαερισμού </w:t>
            </w:r>
          </w:p>
          <w:p w14:paraId="01763FF5" w14:textId="77777777" w:rsidR="00F03406" w:rsidRPr="002E7739" w:rsidRDefault="00F03406" w:rsidP="00F03406">
            <w:pPr>
              <w:numPr>
                <w:ilvl w:val="0"/>
                <w:numId w:val="1"/>
              </w:numPr>
              <w:suppressAutoHyphens w:val="0"/>
              <w:spacing w:after="0" w:line="259" w:lineRule="auto"/>
              <w:ind w:left="315"/>
              <w:contextualSpacing/>
              <w:jc w:val="left"/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Σύστημα εξαερισμού με σπιράλ σωλήνες INOX για τη διοχέτευση αέρα , Φίλτρα αέρα (HEPA ή ισοδύναμα) για καθαρισμό εισερχόμενου αέρα , σύστημα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υπερπίεσης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 για αποφυγή εισόδου ρύπων , αυτόματο έλεγχο λειτουργίας βάσει μετρήσεων θερμοκρασίας, υγρασίας και CO₂ , Ικανότητα εναλλαγής αέρα τουλάχιστον 15 φορές/ώρα. </w:t>
            </w:r>
          </w:p>
          <w:p w14:paraId="308041CB" w14:textId="77777777" w:rsidR="00F03406" w:rsidRPr="002E7739" w:rsidRDefault="00F03406" w:rsidP="00F03406">
            <w:pPr>
              <w:numPr>
                <w:ilvl w:val="0"/>
                <w:numId w:val="1"/>
              </w:numPr>
              <w:suppressAutoHyphens w:val="0"/>
              <w:spacing w:after="0" w:line="259" w:lineRule="auto"/>
              <w:ind w:left="315"/>
              <w:contextualSpacing/>
              <w:jc w:val="left"/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Σύστημα φωτισμού με LED πάνελ υψηλής απόδοσης, πλήρους φάσματος (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Grow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Lights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) και συνολική ισχύ 200–400 W, με δυνατότητα ρύθμισης έντασης φωτισμού και χρονοπρογραμματισμού, περιλαμβάνει πίνακα ασφαλειών με διακόπτες διαφυγής ρεύματος (RCD), UPS ή εφεδρική πηγή ενέργειας για κρίσιμα </w:t>
            </w: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lastRenderedPageBreak/>
              <w:t xml:space="preserve">συστήματα, βοηθητικό φωτισμό για συντήρηση και δυνατότητα σύνδεσης με υπάρχον υβριδικό δίκτυο ανανεώσιμων πηγών ενέργειας (Ηλιακή, Αιολική, Γεωθερμική, Βιομάζα) και δυνατότητα ελέγχου μέσω διαδικτύου (Web ή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App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interface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).</w:t>
            </w:r>
          </w:p>
          <w:p w14:paraId="4368CD88" w14:textId="77777777" w:rsidR="00F03406" w:rsidRPr="002E7739" w:rsidRDefault="00F03406" w:rsidP="00F03406">
            <w:pPr>
              <w:numPr>
                <w:ilvl w:val="0"/>
                <w:numId w:val="1"/>
              </w:numPr>
              <w:suppressAutoHyphens w:val="0"/>
              <w:spacing w:after="0" w:line="259" w:lineRule="auto"/>
              <w:ind w:left="315"/>
              <w:contextualSpacing/>
              <w:jc w:val="left"/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Διαθέτει αυτόματο σύστημα άρδευσης με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υδρονεφωτές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 σε όλα τα επίπεδα το οποίο ενεργοποιείται με αισθητήρα υγρασίας υποστρώματος. </w:t>
            </w:r>
          </w:p>
          <w:p w14:paraId="26A1B602" w14:textId="77777777" w:rsidR="00F03406" w:rsidRPr="002E7739" w:rsidRDefault="00F03406" w:rsidP="00F03406">
            <w:pPr>
              <w:numPr>
                <w:ilvl w:val="0"/>
                <w:numId w:val="1"/>
              </w:numPr>
              <w:suppressAutoHyphens w:val="0"/>
              <w:spacing w:after="0" w:line="259" w:lineRule="auto"/>
              <w:ind w:left="315"/>
              <w:contextualSpacing/>
              <w:jc w:val="left"/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Διαθέτει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σχαρωτό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 δάπεδο με κλίση για συλλογή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αποστραγγιζόμενων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 υγρών, σωληνωτό δίκτυο αποχέτευσης, συνδεδεμένο με δεξαμενή συλλογής αποβλήτων ή επαναχρησιμοποίησης και υγρομόνωση δαπέδου για αποφυγή διαρροών.</w:t>
            </w:r>
          </w:p>
          <w:p w14:paraId="24D0338F" w14:textId="77777777" w:rsidR="00F03406" w:rsidRPr="002E7739" w:rsidRDefault="00F03406" w:rsidP="00F03406">
            <w:pPr>
              <w:numPr>
                <w:ilvl w:val="0"/>
                <w:numId w:val="1"/>
              </w:numPr>
              <w:suppressAutoHyphens w:val="0"/>
              <w:spacing w:after="0" w:line="259" w:lineRule="auto"/>
              <w:ind w:left="315"/>
              <w:contextualSpacing/>
              <w:jc w:val="left"/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Περιλαμβάνει σύστημα καταγραφής δεδομένων (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Data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Logger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) για ιστορικό κλίματος, άρδευσης και φωτισμού.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6BDB4" w14:textId="77777777" w:rsidR="00F03406" w:rsidRPr="002E7739" w:rsidRDefault="00F03406" w:rsidP="000A1635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lastRenderedPageBreak/>
              <w:t>ΝΑΙ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4B88A8B" w14:textId="77777777" w:rsidR="00F03406" w:rsidRPr="002E7739" w:rsidRDefault="00F03406" w:rsidP="000A1635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6A7BC68" w14:textId="77777777" w:rsidR="00F03406" w:rsidRPr="002E7739" w:rsidRDefault="00F03406" w:rsidP="000A1635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 </w:t>
            </w:r>
          </w:p>
        </w:tc>
      </w:tr>
      <w:tr w:rsidR="00F03406" w:rsidRPr="002E7739" w14:paraId="03CE2759" w14:textId="77777777" w:rsidTr="000A1635">
        <w:trPr>
          <w:trHeight w:val="537"/>
        </w:trPr>
        <w:tc>
          <w:tcPr>
            <w:tcW w:w="1020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1D66977C" w14:textId="77777777" w:rsidR="00F03406" w:rsidRPr="002E7739" w:rsidRDefault="00F03406" w:rsidP="000A163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 w:bidi="he-IL"/>
              </w:rPr>
            </w:pPr>
            <w:r w:rsidRPr="002E7739">
              <w:rPr>
                <w:b/>
                <w:bCs/>
                <w:color w:val="000000"/>
                <w:szCs w:val="22"/>
                <w:lang w:val="el-GR" w:eastAsia="el-GR" w:bidi="he-IL"/>
              </w:rPr>
              <w:t xml:space="preserve">ΟΜΑΔΑ Β: ΕΞΟΠΛΙΣΜΟΣ ΑΝΑΝΕΩΣΙΜΩΝ ΠΗΓΩΝ ΕΝΕΡΓΕΙΑΣ </w:t>
            </w:r>
          </w:p>
        </w:tc>
      </w:tr>
      <w:tr w:rsidR="00F03406" w:rsidRPr="002E7739" w14:paraId="19E97783" w14:textId="77777777" w:rsidTr="000A1635">
        <w:trPr>
          <w:trHeight w:val="537"/>
        </w:trPr>
        <w:tc>
          <w:tcPr>
            <w:tcW w:w="10206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16C836C2" w14:textId="77777777" w:rsidR="00F03406" w:rsidRPr="002E7739" w:rsidRDefault="00F03406" w:rsidP="000A163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 w:bidi="he-IL"/>
              </w:rPr>
            </w:pPr>
            <w:r w:rsidRPr="002E7739">
              <w:rPr>
                <w:b/>
                <w:bCs/>
                <w:color w:val="000000"/>
                <w:szCs w:val="22"/>
                <w:lang w:val="el-GR" w:eastAsia="el-GR" w:bidi="he-IL"/>
              </w:rPr>
              <w:t xml:space="preserve">Προμήθεια για αγορά εξοπλισμού Ανανεώσιμων πηγών ενέργειας (φωτοβολταϊκά, αντλίες θερμότητας, </w:t>
            </w:r>
            <w:proofErr w:type="spellStart"/>
            <w:r w:rsidRPr="002E7739">
              <w:rPr>
                <w:b/>
                <w:bCs/>
                <w:color w:val="000000"/>
                <w:szCs w:val="22"/>
                <w:lang w:val="el-GR" w:eastAsia="el-GR" w:bidi="he-IL"/>
              </w:rPr>
              <w:t>inverter</w:t>
            </w:r>
            <w:proofErr w:type="spellEnd"/>
            <w:r w:rsidRPr="002E7739">
              <w:rPr>
                <w:b/>
                <w:bCs/>
                <w:color w:val="000000"/>
                <w:szCs w:val="22"/>
                <w:lang w:val="el-GR" w:eastAsia="el-GR" w:bidi="he-IL"/>
              </w:rPr>
              <w:t>)</w:t>
            </w:r>
          </w:p>
        </w:tc>
      </w:tr>
      <w:tr w:rsidR="00F03406" w:rsidRPr="002E7739" w14:paraId="2EBFF363" w14:textId="77777777" w:rsidTr="000A1635">
        <w:trPr>
          <w:trHeight w:val="53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A978F" w14:textId="77777777" w:rsidR="00F03406" w:rsidRPr="002E7739" w:rsidRDefault="00F03406" w:rsidP="000A1635">
            <w:pPr>
              <w:suppressAutoHyphens w:val="0"/>
              <w:spacing w:after="0"/>
              <w:jc w:val="center"/>
              <w:rPr>
                <w:rFonts w:eastAsia="Aptos"/>
                <w:color w:val="000000"/>
                <w:kern w:val="2"/>
                <w:sz w:val="20"/>
                <w:szCs w:val="20"/>
                <w:lang w:val="el-GR" w:eastAsia="en-US" w:bidi="he-IL"/>
              </w:rPr>
            </w:pPr>
            <w:r w:rsidRPr="002E7739">
              <w:rPr>
                <w:rFonts w:eastAsia="Aptos"/>
                <w:color w:val="000000"/>
                <w:kern w:val="2"/>
                <w:sz w:val="20"/>
                <w:szCs w:val="20"/>
                <w:lang w:val="el-GR" w:eastAsia="en-US" w:bidi="he-IL"/>
              </w:rPr>
              <w:t>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20EA" w14:textId="77777777" w:rsidR="00F03406" w:rsidRPr="002E7739" w:rsidRDefault="00F03406" w:rsidP="000A1635">
            <w:pPr>
              <w:suppressAutoHyphens w:val="0"/>
              <w:spacing w:after="0"/>
              <w:rPr>
                <w:rFonts w:eastAsia="Aptos"/>
                <w:color w:val="000000"/>
                <w:kern w:val="2"/>
                <w:sz w:val="20"/>
                <w:szCs w:val="20"/>
                <w:lang w:val="el-GR" w:eastAsia="en-US" w:bidi="he-IL"/>
              </w:rPr>
            </w:pPr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Προσφερόμενος αριθμός ΣΥΣΤΗΜΑΤΩΝ ΑΝΑΝΕΩΣΙΜΩΝ ΠΗΓΩΝ ΕΝΕΡΓΕΙΑΣ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9449" w14:textId="77777777" w:rsidR="00F03406" w:rsidRPr="002E7739" w:rsidRDefault="00F03406" w:rsidP="000A1635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1A835" w14:textId="77777777" w:rsidR="00F03406" w:rsidRPr="002E7739" w:rsidRDefault="00F03406" w:rsidP="000A1635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 w:bidi="he-IL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EE479" w14:textId="77777777" w:rsidR="00F03406" w:rsidRPr="002E7739" w:rsidRDefault="00F03406" w:rsidP="000A1635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 w:bidi="he-IL"/>
              </w:rPr>
            </w:pPr>
          </w:p>
        </w:tc>
      </w:tr>
      <w:tr w:rsidR="00F03406" w:rsidRPr="002E7739" w14:paraId="50917B8A" w14:textId="77777777" w:rsidTr="000A1635">
        <w:trPr>
          <w:trHeight w:val="53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8F981" w14:textId="77777777" w:rsidR="00F03406" w:rsidRPr="002E7739" w:rsidRDefault="00F03406" w:rsidP="000A163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rFonts w:eastAsia="Aptos"/>
                <w:color w:val="000000"/>
                <w:kern w:val="2"/>
                <w:sz w:val="20"/>
                <w:szCs w:val="20"/>
                <w:lang w:val="el-GR" w:eastAsia="en-US" w:bidi="he-IL"/>
              </w:rPr>
              <w:t>2.1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889DA" w14:textId="77777777" w:rsidR="00F03406" w:rsidRPr="002E7739" w:rsidRDefault="00F03406" w:rsidP="000A1635">
            <w:pPr>
              <w:suppressAutoHyphens w:val="0"/>
              <w:spacing w:after="0"/>
              <w:rPr>
                <w:rFonts w:eastAsia="Aptos"/>
                <w:b/>
                <w:bCs/>
                <w:kern w:val="2"/>
                <w:sz w:val="20"/>
                <w:szCs w:val="20"/>
                <w:lang w:val="el-GR" w:eastAsia="en-US" w:bidi="he-IL"/>
              </w:rPr>
            </w:pPr>
            <w:r w:rsidRPr="002E7739">
              <w:rPr>
                <w:rFonts w:eastAsia="Aptos"/>
                <w:b/>
                <w:bCs/>
                <w:kern w:val="2"/>
                <w:sz w:val="20"/>
                <w:szCs w:val="20"/>
                <w:lang w:val="el-GR" w:eastAsia="en-US" w:bidi="he-IL"/>
              </w:rPr>
              <w:t xml:space="preserve">Σύστημα </w:t>
            </w:r>
            <w:proofErr w:type="spellStart"/>
            <w:r w:rsidRPr="002E7739">
              <w:rPr>
                <w:rFonts w:eastAsia="Aptos"/>
                <w:b/>
                <w:bCs/>
                <w:kern w:val="2"/>
                <w:sz w:val="20"/>
                <w:szCs w:val="20"/>
                <w:lang w:val="el-GR" w:eastAsia="en-US" w:bidi="he-IL"/>
              </w:rPr>
              <w:t>Φωτοβολταϊκού</w:t>
            </w:r>
            <w:proofErr w:type="spellEnd"/>
            <w:r w:rsidRPr="002E7739">
              <w:rPr>
                <w:rFonts w:eastAsia="Aptos"/>
                <w:b/>
                <w:bCs/>
                <w:kern w:val="2"/>
                <w:sz w:val="20"/>
                <w:szCs w:val="20"/>
                <w:lang w:val="el-GR" w:eastAsia="en-US" w:bidi="he-IL"/>
              </w:rPr>
              <w:t xml:space="preserve"> (1 Τεμάχιο).</w:t>
            </w:r>
          </w:p>
          <w:p w14:paraId="6A8D4EAD" w14:textId="77777777" w:rsidR="00F03406" w:rsidRPr="002E7739" w:rsidRDefault="00F03406" w:rsidP="000A1635">
            <w:pPr>
              <w:suppressAutoHyphens w:val="0"/>
              <w:spacing w:after="0"/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• Συνολική εγκατεστημένη ισχύς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φωτοβολταϊκού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 πεδίου: ≈ 10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kWp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, αποτελούμενη από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μονοκρυσταλλικά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 N-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Type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 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TOPCon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modules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 ισχύος ≥ 440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Wp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 έκαστο, απόδοση ≥ 21 % (≥23 Πάνελ).</w:t>
            </w:r>
          </w:p>
          <w:p w14:paraId="4A1044EC" w14:textId="77777777" w:rsidR="00F03406" w:rsidRPr="002E7739" w:rsidRDefault="00F03406" w:rsidP="000A1635">
            <w:pPr>
              <w:suppressAutoHyphens w:val="0"/>
              <w:spacing w:after="0"/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• Πιστοποιήσεις: IEC 61215, IEC 61730, ανθεκτικά σε PID και LID.</w:t>
            </w:r>
          </w:p>
          <w:p w14:paraId="6D30F829" w14:textId="77777777" w:rsidR="00F03406" w:rsidRPr="002E7739" w:rsidRDefault="00F03406" w:rsidP="000A1635">
            <w:pPr>
              <w:suppressAutoHyphens w:val="0"/>
              <w:spacing w:after="0"/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• Εγγυήσεις: ≥ 12 έτη προϊόντος, ≥ 25 έτη εγγύηση απόδοσης (≥ 84 % στο 25ο έτος).</w:t>
            </w:r>
          </w:p>
          <w:p w14:paraId="0AAD225A" w14:textId="77777777" w:rsidR="00F03406" w:rsidRPr="002E7739" w:rsidRDefault="00F03406" w:rsidP="000A1635">
            <w:pPr>
              <w:suppressAutoHyphens w:val="0"/>
              <w:spacing w:after="0"/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• Σύστημα στήριξης: αλουμίνιο ή γαλβανισμένος χάλυβας, πιστοποιημένο για ταχύτητες ανέμου περιοχής, με αντιδιαβρωτική προστασία.</w:t>
            </w:r>
          </w:p>
          <w:p w14:paraId="2F0B8813" w14:textId="77777777" w:rsidR="00F03406" w:rsidRPr="002E7739" w:rsidRDefault="00F03406" w:rsidP="000A1635">
            <w:pPr>
              <w:suppressAutoHyphens w:val="0"/>
              <w:spacing w:after="0"/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• Αντοχές: ≥ 5400 </w:t>
            </w:r>
            <w:r w:rsidRPr="002E7739">
              <w:rPr>
                <w:rFonts w:eastAsia="Aptos"/>
                <w:kern w:val="2"/>
                <w:sz w:val="20"/>
                <w:szCs w:val="20"/>
                <w:lang w:val="en-US" w:eastAsia="en-US" w:bidi="he-IL"/>
              </w:rPr>
              <w:t>Pa</w:t>
            </w: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 (</w:t>
            </w:r>
            <w:r w:rsidRPr="002E7739">
              <w:rPr>
                <w:rFonts w:eastAsia="Aptos"/>
                <w:kern w:val="2"/>
                <w:sz w:val="20"/>
                <w:szCs w:val="20"/>
                <w:lang w:val="en-US" w:eastAsia="en-US" w:bidi="he-IL"/>
              </w:rPr>
              <w:t>snow</w:t>
            </w: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), ≥ 2400 </w:t>
            </w:r>
            <w:r w:rsidRPr="002E7739">
              <w:rPr>
                <w:rFonts w:eastAsia="Aptos"/>
                <w:kern w:val="2"/>
                <w:sz w:val="20"/>
                <w:szCs w:val="20"/>
                <w:lang w:val="en-US" w:eastAsia="en-US" w:bidi="he-IL"/>
              </w:rPr>
              <w:t>Pa</w:t>
            </w: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 (</w:t>
            </w:r>
            <w:r w:rsidRPr="002E7739">
              <w:rPr>
                <w:rFonts w:eastAsia="Aptos"/>
                <w:kern w:val="2"/>
                <w:sz w:val="20"/>
                <w:szCs w:val="20"/>
                <w:lang w:val="en-US" w:eastAsia="en-US" w:bidi="he-IL"/>
              </w:rPr>
              <w:t>wind</w:t>
            </w: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).</w:t>
            </w:r>
          </w:p>
          <w:p w14:paraId="68700F46" w14:textId="77777777" w:rsidR="00F03406" w:rsidRPr="002E7739" w:rsidRDefault="00F03406" w:rsidP="000A1635">
            <w:pPr>
              <w:suppressAutoHyphens w:val="0"/>
              <w:spacing w:after="0"/>
              <w:rPr>
                <w:rFonts w:eastAsia="Aptos"/>
                <w:kern w:val="2"/>
                <w:sz w:val="20"/>
                <w:szCs w:val="20"/>
                <w:lang w:val="en-US" w:eastAsia="en-US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n-US" w:eastAsia="en-US" w:bidi="he-IL"/>
              </w:rPr>
              <w:t>• Junction box: IP68, MC4-compatible connectors.</w:t>
            </w:r>
          </w:p>
          <w:p w14:paraId="2E06F07C" w14:textId="77777777" w:rsidR="00F03406" w:rsidRPr="002E7739" w:rsidRDefault="00F03406" w:rsidP="000A1635">
            <w:pPr>
              <w:suppressAutoHyphens w:val="0"/>
              <w:spacing w:after="0"/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• Θερμοκρασιακό εύρος λειτουργίας: −40 °C έως +85 °C.</w:t>
            </w:r>
          </w:p>
          <w:p w14:paraId="5B4488C8" w14:textId="77777777" w:rsidR="00F03406" w:rsidRPr="002E7739" w:rsidRDefault="00F03406" w:rsidP="000A1635">
            <w:pPr>
              <w:suppressAutoHyphens w:val="0"/>
              <w:spacing w:after="0"/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• Πιστοποιήσεις: IEC 61215, IEC 61730.</w:t>
            </w:r>
          </w:p>
          <w:p w14:paraId="6F404249" w14:textId="77777777" w:rsidR="00F03406" w:rsidRPr="002E7739" w:rsidRDefault="00F03406" w:rsidP="000A1635">
            <w:pPr>
              <w:suppressAutoHyphens w:val="0"/>
              <w:spacing w:after="0"/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• Σύστημα στήριξης: αλουμινίου ή γαλβανισμένου χάλυβα, αντιδιαβρωτικής προστασίας, πιστοποιημένο για φορτία ανέμου.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DE5D" w14:textId="77777777" w:rsidR="00F03406" w:rsidRPr="002E7739" w:rsidRDefault="00F03406" w:rsidP="000A1635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ΝΑΙ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E425F" w14:textId="77777777" w:rsidR="00F03406" w:rsidRPr="002E7739" w:rsidRDefault="00F03406" w:rsidP="000A1635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4ECE9" w14:textId="77777777" w:rsidR="00F03406" w:rsidRPr="002E7739" w:rsidRDefault="00F03406" w:rsidP="000A1635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 </w:t>
            </w:r>
          </w:p>
        </w:tc>
      </w:tr>
      <w:tr w:rsidR="00F03406" w:rsidRPr="002E7739" w14:paraId="34A2C871" w14:textId="77777777" w:rsidTr="000A1635">
        <w:trPr>
          <w:trHeight w:val="53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D2F40" w14:textId="77777777" w:rsidR="00F03406" w:rsidRPr="002E7739" w:rsidRDefault="00F03406" w:rsidP="000A163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rFonts w:eastAsia="Aptos"/>
                <w:color w:val="000000"/>
                <w:kern w:val="2"/>
                <w:sz w:val="20"/>
                <w:szCs w:val="20"/>
                <w:lang w:val="el-GR" w:eastAsia="en-US" w:bidi="he-IL"/>
              </w:rPr>
              <w:t>2.2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AAD73" w14:textId="77777777" w:rsidR="00F03406" w:rsidRPr="002E7739" w:rsidRDefault="00F03406" w:rsidP="000A1635">
            <w:pPr>
              <w:suppressAutoHyphens w:val="0"/>
              <w:spacing w:after="0"/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</w:pPr>
            <w:proofErr w:type="spellStart"/>
            <w:r w:rsidRPr="002E7739">
              <w:rPr>
                <w:rFonts w:eastAsia="Aptos"/>
                <w:b/>
                <w:bCs/>
                <w:kern w:val="2"/>
                <w:sz w:val="20"/>
                <w:szCs w:val="20"/>
                <w:lang w:val="el-GR" w:eastAsia="en-US" w:bidi="he-IL"/>
              </w:rPr>
              <w:t>Τριφαστικός</w:t>
            </w:r>
            <w:proofErr w:type="spellEnd"/>
            <w:r w:rsidRPr="002E7739">
              <w:rPr>
                <w:rFonts w:eastAsia="Aptos"/>
                <w:b/>
                <w:bCs/>
                <w:kern w:val="2"/>
                <w:sz w:val="20"/>
                <w:szCs w:val="20"/>
                <w:lang w:val="el-GR" w:eastAsia="en-US" w:bidi="he-IL"/>
              </w:rPr>
              <w:t xml:space="preserve"> </w:t>
            </w:r>
            <w:proofErr w:type="spellStart"/>
            <w:r w:rsidRPr="002E7739">
              <w:rPr>
                <w:rFonts w:eastAsia="Aptos"/>
                <w:b/>
                <w:bCs/>
                <w:kern w:val="2"/>
                <w:sz w:val="20"/>
                <w:szCs w:val="20"/>
                <w:lang w:val="el-GR" w:eastAsia="en-US" w:bidi="he-IL"/>
              </w:rPr>
              <w:t>Υβρδικός</w:t>
            </w:r>
            <w:proofErr w:type="spellEnd"/>
            <w:r w:rsidRPr="002E7739">
              <w:rPr>
                <w:rFonts w:eastAsia="Aptos"/>
                <w:b/>
                <w:bCs/>
                <w:kern w:val="2"/>
                <w:sz w:val="20"/>
                <w:szCs w:val="20"/>
                <w:lang w:val="el-GR" w:eastAsia="en-US" w:bidi="he-IL"/>
              </w:rPr>
              <w:t xml:space="preserve"> </w:t>
            </w:r>
            <w:r w:rsidRPr="002E7739">
              <w:rPr>
                <w:rFonts w:eastAsia="Aptos"/>
                <w:b/>
                <w:bCs/>
                <w:kern w:val="2"/>
                <w:sz w:val="20"/>
                <w:szCs w:val="20"/>
                <w:lang w:val="en-US" w:eastAsia="en-US" w:bidi="he-IL"/>
              </w:rPr>
              <w:t>Inverter</w:t>
            </w:r>
            <w:r w:rsidRPr="002E7739">
              <w:rPr>
                <w:rFonts w:eastAsia="Aptos"/>
                <w:b/>
                <w:bCs/>
                <w:kern w:val="2"/>
                <w:sz w:val="20"/>
                <w:szCs w:val="20"/>
                <w:lang w:val="el-GR" w:eastAsia="en-US" w:bidi="he-IL"/>
              </w:rPr>
              <w:t xml:space="preserve"> (Τεμάχια 2)</w:t>
            </w: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  •Τριφασικός υβριδικός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inverter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 ονομαστικής ισχύος ≥10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kW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 / 10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kVA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, με PV εισόδους + μπαταρίες (DC-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coupled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) και λειτουργία UPS/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backup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 (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seamless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changeover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 ≤ 10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ms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).</w:t>
            </w:r>
          </w:p>
          <w:p w14:paraId="71ECF0B6" w14:textId="77777777" w:rsidR="00F03406" w:rsidRPr="002E7739" w:rsidRDefault="00F03406" w:rsidP="000A1635">
            <w:pPr>
              <w:suppressAutoHyphens w:val="0"/>
              <w:spacing w:after="0"/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•Λειτουργίες: on-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grid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 με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net-metering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/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αυτοπαραγωγή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, αυτόνομη τροφοδότηση κρίσιμων φορτίων από μπαταρίες σε διακοπή,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grid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support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 (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export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limit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).</w:t>
            </w:r>
          </w:p>
          <w:p w14:paraId="29DB7173" w14:textId="77777777" w:rsidR="00F03406" w:rsidRPr="002E7739" w:rsidRDefault="00F03406" w:rsidP="000A1635">
            <w:pPr>
              <w:suppressAutoHyphens w:val="0"/>
              <w:spacing w:after="0"/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•Απόδοση: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Euro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 η απόδοση ≥ 97,5 %, MPPT ≥ 2 ανά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inverter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.</w:t>
            </w:r>
          </w:p>
          <w:p w14:paraId="629C2204" w14:textId="77777777" w:rsidR="00F03406" w:rsidRPr="002E7739" w:rsidRDefault="00F03406" w:rsidP="000A1635">
            <w:pPr>
              <w:suppressAutoHyphens w:val="0"/>
              <w:spacing w:after="0"/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•Επικοινωνίες: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Modbus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 TCP/RTU,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Ethernet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,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Wi-Fi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/4G (όπου ζητηθεί).</w:t>
            </w:r>
          </w:p>
          <w:p w14:paraId="1AD1DA1C" w14:textId="77777777" w:rsidR="00F03406" w:rsidRPr="002E7739" w:rsidRDefault="00F03406" w:rsidP="000A1635">
            <w:pPr>
              <w:suppressAutoHyphens w:val="0"/>
              <w:spacing w:after="0"/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•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Full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back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up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 με ασσυμετρία φάσεων </w:t>
            </w:r>
          </w:p>
          <w:p w14:paraId="7FA911CD" w14:textId="77777777" w:rsidR="00F03406" w:rsidRPr="002E7739" w:rsidRDefault="00F03406" w:rsidP="000A1635">
            <w:pPr>
              <w:suppressAutoHyphens w:val="0"/>
              <w:spacing w:after="0"/>
              <w:rPr>
                <w:rFonts w:eastAsia="Aptos"/>
                <w:kern w:val="2"/>
                <w:sz w:val="20"/>
                <w:szCs w:val="20"/>
                <w:lang w:val="en-US" w:eastAsia="en-US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n-US" w:eastAsia="en-US" w:bidi="he-IL"/>
              </w:rPr>
              <w:t xml:space="preserve">•Smart meter &amp; data logger </w:t>
            </w: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με</w:t>
            </w:r>
            <w:r w:rsidRPr="002E7739">
              <w:rPr>
                <w:rFonts w:eastAsia="Aptos"/>
                <w:kern w:val="2"/>
                <w:sz w:val="20"/>
                <w:szCs w:val="20"/>
                <w:lang w:val="en-US" w:eastAsia="en-US" w:bidi="he-IL"/>
              </w:rPr>
              <w:t xml:space="preserve"> </w:t>
            </w: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τηλεμετρία</w:t>
            </w:r>
            <w:r w:rsidRPr="002E7739">
              <w:rPr>
                <w:rFonts w:eastAsia="Aptos"/>
                <w:kern w:val="2"/>
                <w:sz w:val="20"/>
                <w:szCs w:val="20"/>
                <w:lang w:val="en-US" w:eastAsia="en-US" w:bidi="he-IL"/>
              </w:rPr>
              <w:t xml:space="preserve"> standard </w:t>
            </w: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στην</w:t>
            </w:r>
            <w:r w:rsidRPr="002E7739">
              <w:rPr>
                <w:rFonts w:eastAsia="Aptos"/>
                <w:kern w:val="2"/>
                <w:sz w:val="20"/>
                <w:szCs w:val="20"/>
                <w:lang w:val="en-US" w:eastAsia="en-US" w:bidi="he-IL"/>
              </w:rPr>
              <w:t xml:space="preserve"> </w:t>
            </w: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συσκευασία</w:t>
            </w:r>
            <w:r w:rsidRPr="002E7739">
              <w:rPr>
                <w:rFonts w:eastAsia="Aptos"/>
                <w:kern w:val="2"/>
                <w:sz w:val="20"/>
                <w:szCs w:val="20"/>
                <w:lang w:val="en-US" w:eastAsia="en-US" w:bidi="he-IL"/>
              </w:rPr>
              <w:t>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D711" w14:textId="77777777" w:rsidR="00F03406" w:rsidRPr="002E7739" w:rsidRDefault="00F03406" w:rsidP="000A1635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ΝΑΙ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368BD" w14:textId="77777777" w:rsidR="00F03406" w:rsidRPr="002E7739" w:rsidRDefault="00F03406" w:rsidP="000A1635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 w:bidi="he-IL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5F207" w14:textId="77777777" w:rsidR="00F03406" w:rsidRPr="002E7739" w:rsidRDefault="00F03406" w:rsidP="000A1635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 w:bidi="he-IL"/>
              </w:rPr>
            </w:pPr>
          </w:p>
        </w:tc>
      </w:tr>
      <w:tr w:rsidR="00F03406" w:rsidRPr="002E7739" w14:paraId="4B4A5C65" w14:textId="77777777" w:rsidTr="000A1635">
        <w:trPr>
          <w:trHeight w:val="53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05EFB" w14:textId="77777777" w:rsidR="00F03406" w:rsidRPr="002E7739" w:rsidRDefault="00F03406" w:rsidP="000A163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rFonts w:eastAsia="Aptos"/>
                <w:color w:val="000000"/>
                <w:kern w:val="2"/>
                <w:sz w:val="20"/>
                <w:szCs w:val="20"/>
                <w:lang w:val="el-GR" w:eastAsia="en-US" w:bidi="he-IL"/>
              </w:rPr>
              <w:lastRenderedPageBreak/>
              <w:t>2.3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8AB69" w14:textId="77777777" w:rsidR="00F03406" w:rsidRPr="002E7739" w:rsidRDefault="00F03406" w:rsidP="000A1635">
            <w:pPr>
              <w:suppressAutoHyphens w:val="0"/>
              <w:spacing w:after="0"/>
              <w:rPr>
                <w:rFonts w:eastAsia="Aptos"/>
                <w:b/>
                <w:bCs/>
                <w:kern w:val="2"/>
                <w:sz w:val="20"/>
                <w:szCs w:val="20"/>
                <w:lang w:val="el-GR" w:eastAsia="en-US" w:bidi="he-IL"/>
              </w:rPr>
            </w:pPr>
            <w:r w:rsidRPr="002E7739">
              <w:rPr>
                <w:rFonts w:eastAsia="Aptos"/>
                <w:b/>
                <w:bCs/>
                <w:kern w:val="2"/>
                <w:sz w:val="20"/>
                <w:szCs w:val="20"/>
                <w:lang w:val="el-GR" w:eastAsia="en-US" w:bidi="he-IL"/>
              </w:rPr>
              <w:t>Σύστημα αποθήκευσης ενέργειας (BESS) (Τεμάχιο 1)</w:t>
            </w:r>
          </w:p>
          <w:p w14:paraId="0B54A806" w14:textId="77777777" w:rsidR="00F03406" w:rsidRPr="002E7739" w:rsidRDefault="00F03406" w:rsidP="000A1635">
            <w:pPr>
              <w:suppressAutoHyphens w:val="0"/>
              <w:spacing w:after="0"/>
              <w:rPr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Τεχνολογία μπαταριών υψηλής τάσης (HV) </w:t>
            </w:r>
            <w:proofErr w:type="spellStart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LiFePO</w:t>
            </w:r>
            <w:proofErr w:type="spellEnd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₄ (LFP), αρθρωτού τύπου, με βάση/ντουλάπι BDU και </w:t>
            </w:r>
            <w:proofErr w:type="spellStart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στοιβαζόμενα</w:t>
            </w:r>
            <w:proofErr w:type="spellEnd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 </w:t>
            </w:r>
            <w:proofErr w:type="spellStart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battery</w:t>
            </w:r>
            <w:proofErr w:type="spellEnd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 </w:t>
            </w:r>
            <w:proofErr w:type="spellStart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modules</w:t>
            </w:r>
            <w:proofErr w:type="spellEnd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.</w:t>
            </w:r>
          </w:p>
          <w:p w14:paraId="49BEAF98" w14:textId="77777777" w:rsidR="00F03406" w:rsidRPr="002E7739" w:rsidRDefault="00F03406" w:rsidP="000A1635">
            <w:pPr>
              <w:suppressAutoHyphens w:val="0"/>
              <w:spacing w:after="0"/>
              <w:rPr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• </w:t>
            </w:r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Συνολική ονομαστική χωρητικότητα συστήματος ≥ 26,5 </w:t>
            </w:r>
            <w:proofErr w:type="spellStart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kWh</w:t>
            </w:r>
            <w:proofErr w:type="spellEnd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, αποτελούμενη από ≥ 5 </w:t>
            </w:r>
            <w:proofErr w:type="spellStart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modules</w:t>
            </w:r>
            <w:proofErr w:type="spellEnd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 ονομαστικής χωρητικότητας ≥ 5,3 </w:t>
            </w:r>
            <w:proofErr w:type="spellStart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kWh</w:t>
            </w:r>
            <w:proofErr w:type="spellEnd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 έκαστο.</w:t>
            </w:r>
          </w:p>
          <w:p w14:paraId="336323A6" w14:textId="77777777" w:rsidR="00F03406" w:rsidRPr="002E7739" w:rsidRDefault="00F03406" w:rsidP="000A1635">
            <w:pPr>
              <w:suppressAutoHyphens w:val="0"/>
              <w:spacing w:after="0"/>
              <w:rPr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• </w:t>
            </w:r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Ωφέλιμη/διαθέσιμη ενέργεια ≥ 22,5 </w:t>
            </w:r>
            <w:proofErr w:type="spellStart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kWh</w:t>
            </w:r>
            <w:proofErr w:type="spellEnd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 (</w:t>
            </w:r>
            <w:proofErr w:type="spellStart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DoD</w:t>
            </w:r>
            <w:proofErr w:type="spellEnd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 ≥ 85 %).</w:t>
            </w:r>
          </w:p>
          <w:p w14:paraId="7D5B7171" w14:textId="77777777" w:rsidR="00F03406" w:rsidRPr="002E7739" w:rsidRDefault="00F03406" w:rsidP="000A1635">
            <w:pPr>
              <w:suppressAutoHyphens w:val="0"/>
              <w:spacing w:after="0"/>
              <w:rPr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•</w:t>
            </w:r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 Δυνατότητα μελλοντικής επέκτασης χωρητικότητας με προσθήκη επιπλέον </w:t>
            </w:r>
            <w:proofErr w:type="spellStart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modules</w:t>
            </w:r>
            <w:proofErr w:type="spellEnd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 και/ή δεύτερου παράλληλου συστοιχίας (συνολική χωρητικότητα συστήματος ≥ 50 </w:t>
            </w:r>
            <w:proofErr w:type="spellStart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kWh</w:t>
            </w:r>
            <w:proofErr w:type="spellEnd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).</w:t>
            </w:r>
          </w:p>
          <w:p w14:paraId="381BE999" w14:textId="77777777" w:rsidR="00F03406" w:rsidRPr="002E7739" w:rsidRDefault="00F03406" w:rsidP="000A1635">
            <w:pPr>
              <w:suppressAutoHyphens w:val="0"/>
              <w:spacing w:after="0"/>
              <w:rPr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•</w:t>
            </w:r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 Ονομαστική τάση συστοιχίας μπαταριών περίπου 512 V, εύρος τάσης λειτουργίας περίπου 432–576 V.</w:t>
            </w:r>
          </w:p>
          <w:p w14:paraId="21DD5BA4" w14:textId="77777777" w:rsidR="00F03406" w:rsidRPr="002E7739" w:rsidRDefault="00F03406" w:rsidP="000A1635">
            <w:pPr>
              <w:suppressAutoHyphens w:val="0"/>
              <w:spacing w:after="0"/>
              <w:rPr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• </w:t>
            </w:r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Μέγιστη συνεχής ισχύς </w:t>
            </w:r>
            <w:proofErr w:type="spellStart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εκφόρτισης</w:t>
            </w:r>
            <w:proofErr w:type="spellEnd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 ≥ 10 </w:t>
            </w:r>
            <w:proofErr w:type="spellStart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kW</w:t>
            </w:r>
            <w:proofErr w:type="spellEnd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 (ενδεικτικά 15 </w:t>
            </w:r>
            <w:proofErr w:type="spellStart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kW</w:t>
            </w:r>
            <w:proofErr w:type="spellEnd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) με μέγιστη ένταση φόρτισης/</w:t>
            </w:r>
            <w:proofErr w:type="spellStart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εκφόρτισης</w:t>
            </w:r>
            <w:proofErr w:type="spellEnd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 ≥ 32 A.</w:t>
            </w:r>
          </w:p>
          <w:p w14:paraId="441159E0" w14:textId="77777777" w:rsidR="00F03406" w:rsidRPr="002E7739" w:rsidRDefault="00F03406" w:rsidP="000A1635">
            <w:pPr>
              <w:suppressAutoHyphens w:val="0"/>
              <w:spacing w:after="0"/>
              <w:rPr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•</w:t>
            </w:r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 Δυνατότητα παροχής στιγμιαίας αιχμής ισχύος ≥ 17,5 </w:t>
            </w:r>
            <w:proofErr w:type="spellStart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kW</w:t>
            </w:r>
            <w:proofErr w:type="spellEnd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 για τουλάχιστον 10 s, κατάλληλη για εκκίνηση φορτίων του θαλάμου και λοιπών κρίσιμων καταναλώσεων.</w:t>
            </w:r>
          </w:p>
          <w:p w14:paraId="68B1C229" w14:textId="77777777" w:rsidR="00F03406" w:rsidRPr="002E7739" w:rsidRDefault="00F03406" w:rsidP="000A1635">
            <w:pPr>
              <w:suppressAutoHyphens w:val="0"/>
              <w:spacing w:after="0"/>
              <w:rPr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• </w:t>
            </w:r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Ενσωματωμένο σύστημα BMS (AI BMS) με επιτήρηση/εξισορρόπηση στοιχείων, προστασία υπερφόρτισης, </w:t>
            </w:r>
            <w:proofErr w:type="spellStart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υπερεκφόρτισης</w:t>
            </w:r>
            <w:proofErr w:type="spellEnd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, υπερέντασης, </w:t>
            </w:r>
            <w:proofErr w:type="spellStart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υπερ</w:t>
            </w:r>
            <w:proofErr w:type="spellEnd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/</w:t>
            </w:r>
            <w:proofErr w:type="spellStart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υποθερμοκρασίας</w:t>
            </w:r>
            <w:proofErr w:type="spellEnd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 και βραχυκυκλώματος.</w:t>
            </w:r>
          </w:p>
          <w:p w14:paraId="06728C4B" w14:textId="77777777" w:rsidR="00F03406" w:rsidRPr="002E7739" w:rsidRDefault="00F03406" w:rsidP="000A1635">
            <w:pPr>
              <w:suppressAutoHyphens w:val="0"/>
              <w:spacing w:after="0"/>
              <w:rPr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• </w:t>
            </w:r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Ενδείξεις κατάστασης: LED ένδειξης </w:t>
            </w:r>
            <w:proofErr w:type="spellStart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SoC</w:t>
            </w:r>
            <w:proofErr w:type="spellEnd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 (τουλάχιστον 4 στάθμες, π.χ. 25/50/75/100 %) και LED λειτουργίας/συναγερμού.</w:t>
            </w:r>
          </w:p>
          <w:p w14:paraId="737CD436" w14:textId="77777777" w:rsidR="00F03406" w:rsidRPr="002E7739" w:rsidRDefault="00F03406" w:rsidP="000A1635">
            <w:pPr>
              <w:suppressAutoHyphens w:val="0"/>
              <w:spacing w:after="0"/>
              <w:rPr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•</w:t>
            </w:r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 Επικοινωνίες: </w:t>
            </w:r>
            <w:proofErr w:type="spellStart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διεπαφές</w:t>
            </w:r>
            <w:proofErr w:type="spellEnd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 CAN και RS-485 για σύνδεση με τριφασικό υβριδικό </w:t>
            </w:r>
            <w:proofErr w:type="spellStart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inverter</w:t>
            </w:r>
            <w:proofErr w:type="spellEnd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 και EMS, υποστήριξη απομακρυσμένης διάγνωσης και ενημέρωσης λογισμικού.</w:t>
            </w:r>
          </w:p>
          <w:p w14:paraId="16E619F3" w14:textId="77777777" w:rsidR="00F03406" w:rsidRPr="002E7739" w:rsidRDefault="00F03406" w:rsidP="000A1635">
            <w:pPr>
              <w:suppressAutoHyphens w:val="0"/>
              <w:spacing w:after="0"/>
              <w:rPr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• </w:t>
            </w:r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Βαθμός προστασίας περιβλήματος τουλάχιστον IP65, κατάλληλος για εγκατάσταση σε εσωτερικό ή </w:t>
            </w:r>
            <w:proofErr w:type="spellStart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ημιυπαίθριο</w:t>
            </w:r>
            <w:proofErr w:type="spellEnd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 χώρο με σκόνη/υγρασία. </w:t>
            </w:r>
          </w:p>
          <w:p w14:paraId="147E3C59" w14:textId="77777777" w:rsidR="00F03406" w:rsidRPr="002E7739" w:rsidRDefault="00F03406" w:rsidP="000A1635">
            <w:pPr>
              <w:suppressAutoHyphens w:val="0"/>
              <w:spacing w:after="0"/>
              <w:rPr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• </w:t>
            </w:r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Εύρος θερμοκρασίας λειτουργίας φόρτισης/</w:t>
            </w:r>
            <w:proofErr w:type="spellStart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εκφόρτισης</w:t>
            </w:r>
            <w:proofErr w:type="spellEnd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 τουλάχιστον από –20 °C έως +50 °C, επιτρεπτή υγρασία 5–95 % RH και υψόμετρο λειτουργίας έως 4.000 m.</w:t>
            </w:r>
          </w:p>
          <w:p w14:paraId="49DDD73B" w14:textId="77777777" w:rsidR="00F03406" w:rsidRPr="002E7739" w:rsidRDefault="00F03406" w:rsidP="000A1635">
            <w:pPr>
              <w:suppressAutoHyphens w:val="0"/>
              <w:spacing w:after="0"/>
              <w:rPr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•</w:t>
            </w:r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 Μηχανική διαμόρφωση: κατακόρυφο ντουλάπι/βάση BDU με δυνατότητα </w:t>
            </w:r>
            <w:proofErr w:type="spellStart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στοίβαξης</w:t>
            </w:r>
            <w:proofErr w:type="spellEnd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 των </w:t>
            </w:r>
            <w:proofErr w:type="spellStart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modules</w:t>
            </w:r>
            <w:proofErr w:type="spellEnd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 χωρίς καλωδιώσεις (</w:t>
            </w:r>
            <w:proofErr w:type="spellStart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plug</w:t>
            </w:r>
            <w:proofErr w:type="spellEnd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-in), βάρος πλήρους συστοιχίας ≤ 250 </w:t>
            </w:r>
            <w:proofErr w:type="spellStart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kg</w:t>
            </w:r>
            <w:proofErr w:type="spellEnd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, εύκολη πρόσβαση για συντήρηση.</w:t>
            </w:r>
          </w:p>
          <w:p w14:paraId="5E96D56A" w14:textId="77777777" w:rsidR="00F03406" w:rsidRPr="002E7739" w:rsidRDefault="00F03406" w:rsidP="000A1635">
            <w:pPr>
              <w:suppressAutoHyphens w:val="0"/>
              <w:spacing w:after="0"/>
              <w:rPr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•</w:t>
            </w:r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Ενσωματωμένα στοιχεία ασφάλειας, όπως ασφάλειες, αισθητήρας καπνού και διπλή ηλεκτρική προστασία, σύμφωνα με τα ισχύοντα πρότυπα για συστήματα αποθήκευσης ενέργειας.</w:t>
            </w:r>
          </w:p>
          <w:p w14:paraId="5B861B53" w14:textId="77777777" w:rsidR="00F03406" w:rsidRPr="002E7739" w:rsidRDefault="00F03406" w:rsidP="000A1635">
            <w:pPr>
              <w:suppressAutoHyphens w:val="0"/>
              <w:spacing w:after="0"/>
              <w:rPr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•</w:t>
            </w:r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Ελάχιστη διάρκεια ζωής ≥ 6.000 κύκλοι (έως 70 % </w:t>
            </w:r>
            <w:proofErr w:type="spellStart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EoL</w:t>
            </w:r>
            <w:proofErr w:type="spellEnd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) και εγγύηση κατασκευαστή τουλάχιστον 10 ετών για τη συστοιχία μπαταριών.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147F" w14:textId="77777777" w:rsidR="00F03406" w:rsidRPr="002E7739" w:rsidRDefault="00F03406" w:rsidP="000A1635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ΝΑΙ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621B5" w14:textId="77777777" w:rsidR="00F03406" w:rsidRPr="002E7739" w:rsidRDefault="00F03406" w:rsidP="000A1635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 w:bidi="he-IL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7E0DD" w14:textId="77777777" w:rsidR="00F03406" w:rsidRPr="002E7739" w:rsidRDefault="00F03406" w:rsidP="000A1635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 w:bidi="he-IL"/>
              </w:rPr>
            </w:pPr>
          </w:p>
        </w:tc>
      </w:tr>
      <w:tr w:rsidR="00F03406" w:rsidRPr="002E7739" w14:paraId="170AA526" w14:textId="77777777" w:rsidTr="000A1635">
        <w:trPr>
          <w:trHeight w:val="53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76DEC" w14:textId="77777777" w:rsidR="00F03406" w:rsidRPr="002E7739" w:rsidRDefault="00F03406" w:rsidP="000A163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rFonts w:eastAsia="Aptos"/>
                <w:color w:val="000000"/>
                <w:kern w:val="2"/>
                <w:sz w:val="20"/>
                <w:szCs w:val="20"/>
                <w:lang w:val="el-GR" w:eastAsia="en-US" w:bidi="he-IL"/>
              </w:rPr>
              <w:t>2.4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F1C4" w14:textId="77777777" w:rsidR="00F03406" w:rsidRPr="002E7739" w:rsidRDefault="00F03406" w:rsidP="000A1635">
            <w:pPr>
              <w:suppressAutoHyphens w:val="0"/>
              <w:spacing w:after="0"/>
              <w:rPr>
                <w:rFonts w:eastAsia="Aptos"/>
                <w:b/>
                <w:bCs/>
                <w:kern w:val="2"/>
                <w:sz w:val="20"/>
                <w:szCs w:val="20"/>
                <w:lang w:val="el-GR" w:eastAsia="en-US" w:bidi="he-IL"/>
              </w:rPr>
            </w:pPr>
            <w:r w:rsidRPr="002E7739">
              <w:rPr>
                <w:rFonts w:eastAsia="Aptos"/>
                <w:b/>
                <w:bCs/>
                <w:kern w:val="2"/>
                <w:sz w:val="20"/>
                <w:szCs w:val="20"/>
                <w:lang w:val="el-GR" w:eastAsia="en-US" w:bidi="he-IL"/>
              </w:rPr>
              <w:t xml:space="preserve">Αντλίες θερμότητας (Τεμάχια 2) </w:t>
            </w:r>
          </w:p>
          <w:p w14:paraId="41D7CFEF" w14:textId="77777777" w:rsidR="00F03406" w:rsidRPr="002E7739" w:rsidRDefault="00F03406" w:rsidP="000A1635">
            <w:pPr>
              <w:suppressAutoHyphens w:val="0"/>
              <w:spacing w:after="0"/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•Τύπος: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inverter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 αέρα-νερού ή VRF/αέρα-αέρα, επαγγελματικής σειράς.</w:t>
            </w:r>
          </w:p>
          <w:p w14:paraId="0F50D49A" w14:textId="77777777" w:rsidR="00F03406" w:rsidRPr="002E7739" w:rsidRDefault="00F03406" w:rsidP="000A1635">
            <w:pPr>
              <w:suppressAutoHyphens w:val="0"/>
              <w:spacing w:after="0"/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•Ονομαστική θερμική ισχύς: 12–16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kW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έκαστη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 (σύνολο 24–32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kW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), με COP ≥ 4,0 (A7/W35) και SCOP ≥ 4,5.</w:t>
            </w:r>
          </w:p>
          <w:p w14:paraId="2AF8C414" w14:textId="77777777" w:rsidR="00F03406" w:rsidRPr="002E7739" w:rsidRDefault="00F03406" w:rsidP="000A1635">
            <w:pPr>
              <w:suppressAutoHyphens w:val="0"/>
              <w:spacing w:after="0"/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•Ψυκτική απόδοση: Για A2W αντλίες θερμότητας: όπως ορίζεται από COP/SCOP (κλάση A++ ή ανώτερη). Για VRF συστήματα: EER/SEER ≥ 6,5.</w:t>
            </w:r>
          </w:p>
          <w:p w14:paraId="24870C95" w14:textId="77777777" w:rsidR="00F03406" w:rsidRPr="002E7739" w:rsidRDefault="00F03406" w:rsidP="000A1635">
            <w:pPr>
              <w:suppressAutoHyphens w:val="0"/>
              <w:spacing w:after="0"/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•Ψυκτικό: R32 ή ισοδύναμο χαμηλού GWP.</w:t>
            </w:r>
          </w:p>
          <w:p w14:paraId="6BFA7762" w14:textId="77777777" w:rsidR="00F03406" w:rsidRPr="002E7739" w:rsidRDefault="00F03406" w:rsidP="000A1635">
            <w:pPr>
              <w:suppressAutoHyphens w:val="0"/>
              <w:spacing w:after="0"/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•Λειτουργία χαμηλών θερμοκρασιών: έως –15 °C χωρίς βοηθητικές αντιστάσεις.</w:t>
            </w:r>
          </w:p>
          <w:p w14:paraId="02C2E0D8" w14:textId="77777777" w:rsidR="00F03406" w:rsidRPr="002E7739" w:rsidRDefault="00F03406" w:rsidP="000A1635">
            <w:pPr>
              <w:suppressAutoHyphens w:val="0"/>
              <w:spacing w:after="0"/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lastRenderedPageBreak/>
              <w:t xml:space="preserve">•Υδραυλικό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κιτ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: κυκλοφορητές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inverter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, δοχείο αδρανείας/ανάμιξης,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τρίοδες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,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buffers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 όπου απαιτείται.</w:t>
            </w:r>
          </w:p>
          <w:p w14:paraId="093863DD" w14:textId="77777777" w:rsidR="00F03406" w:rsidRPr="002E7739" w:rsidRDefault="00F03406" w:rsidP="000A1635">
            <w:pPr>
              <w:suppressAutoHyphens w:val="0"/>
              <w:spacing w:after="0"/>
              <w:rPr>
                <w:rFonts w:eastAsia="Aptos"/>
                <w:b/>
                <w:bCs/>
                <w:kern w:val="2"/>
                <w:sz w:val="20"/>
                <w:szCs w:val="20"/>
                <w:lang w:val="el-GR" w:eastAsia="en-US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•Έλεγχος: πλήρης επικοινωνία με EMS (on/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off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,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setpoints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 xml:space="preserve">, </w:t>
            </w:r>
            <w:proofErr w:type="spellStart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power-limit</w:t>
            </w:r>
            <w:proofErr w:type="spellEnd"/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) για συνέργεια με PV/BESS και αποφυγή αιχμών.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BAE7" w14:textId="77777777" w:rsidR="00F03406" w:rsidRPr="002E7739" w:rsidRDefault="00F03406" w:rsidP="000A1635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lastRenderedPageBreak/>
              <w:t>ΝΑΙ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E016F" w14:textId="77777777" w:rsidR="00F03406" w:rsidRPr="002E7739" w:rsidRDefault="00F03406" w:rsidP="000A1635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 w:bidi="he-IL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9BB7D" w14:textId="77777777" w:rsidR="00F03406" w:rsidRPr="002E7739" w:rsidRDefault="00F03406" w:rsidP="000A1635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 w:bidi="he-IL"/>
              </w:rPr>
            </w:pPr>
          </w:p>
        </w:tc>
      </w:tr>
      <w:tr w:rsidR="00F03406" w:rsidRPr="002E7739" w14:paraId="1A844B37" w14:textId="77777777" w:rsidTr="000A1635">
        <w:trPr>
          <w:trHeight w:val="53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E4FB1" w14:textId="77777777" w:rsidR="00F03406" w:rsidRPr="002E7739" w:rsidRDefault="00F03406" w:rsidP="000A163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rFonts w:eastAsia="Aptos"/>
                <w:color w:val="000000"/>
                <w:kern w:val="2"/>
                <w:sz w:val="20"/>
                <w:szCs w:val="20"/>
                <w:lang w:val="el-GR" w:eastAsia="en-US" w:bidi="he-IL"/>
              </w:rPr>
              <w:t>2.5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E536" w14:textId="77777777" w:rsidR="00F03406" w:rsidRPr="002E7739" w:rsidRDefault="00F03406" w:rsidP="000A1635">
            <w:pPr>
              <w:suppressAutoHyphens w:val="0"/>
              <w:spacing w:after="0"/>
              <w:rPr>
                <w:rFonts w:eastAsia="Aptos"/>
                <w:b/>
                <w:bCs/>
                <w:kern w:val="2"/>
                <w:sz w:val="20"/>
                <w:szCs w:val="20"/>
                <w:lang w:val="el-GR" w:eastAsia="en-US" w:bidi="he-IL"/>
              </w:rPr>
            </w:pPr>
            <w:r w:rsidRPr="002E7739">
              <w:rPr>
                <w:rFonts w:eastAsia="Aptos"/>
                <w:b/>
                <w:bCs/>
                <w:kern w:val="2"/>
                <w:sz w:val="20"/>
                <w:szCs w:val="20"/>
                <w:lang w:val="el-GR" w:eastAsia="en-US" w:bidi="he-IL"/>
              </w:rPr>
              <w:t>Σταθμός Ελέγχου &amp; Εποπτείας Υβριδικού Ενεργειακού Συστήματος (Τεμάχια 1)</w:t>
            </w:r>
          </w:p>
          <w:p w14:paraId="7FAD0D06" w14:textId="77777777" w:rsidR="00F03406" w:rsidRPr="002E7739" w:rsidRDefault="00F03406" w:rsidP="000A1635">
            <w:pPr>
              <w:suppressAutoHyphens w:val="0"/>
              <w:spacing w:after="0"/>
              <w:rPr>
                <w:color w:val="000000"/>
                <w:sz w:val="20"/>
                <w:szCs w:val="20"/>
                <w:lang w:val="en-US" w:eastAsia="el-GR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n-US" w:eastAsia="en-US" w:bidi="he-IL"/>
              </w:rPr>
              <w:t>•</w:t>
            </w:r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Τύπος</w:t>
            </w:r>
            <w:r w:rsidRPr="002E7739">
              <w:rPr>
                <w:color w:val="000000"/>
                <w:sz w:val="20"/>
                <w:szCs w:val="20"/>
                <w:lang w:val="en-US" w:eastAsia="el-GR" w:bidi="he-IL"/>
              </w:rPr>
              <w:t xml:space="preserve"> </w:t>
            </w:r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συσκευής</w:t>
            </w:r>
            <w:r w:rsidRPr="002E7739">
              <w:rPr>
                <w:color w:val="000000"/>
                <w:sz w:val="20"/>
                <w:szCs w:val="20"/>
                <w:lang w:val="en-US" w:eastAsia="el-GR" w:bidi="he-IL"/>
              </w:rPr>
              <w:t xml:space="preserve">: Laptop </w:t>
            </w:r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ή</w:t>
            </w:r>
            <w:r w:rsidRPr="002E7739">
              <w:rPr>
                <w:color w:val="000000"/>
                <w:sz w:val="20"/>
                <w:szCs w:val="20"/>
                <w:lang w:val="en-US" w:eastAsia="el-GR" w:bidi="he-IL"/>
              </w:rPr>
              <w:t xml:space="preserve"> Desktop Industry-Grade.</w:t>
            </w:r>
          </w:p>
          <w:p w14:paraId="2CD9992A" w14:textId="77777777" w:rsidR="00F03406" w:rsidRPr="002E7739" w:rsidRDefault="00F03406" w:rsidP="000A1635">
            <w:pPr>
              <w:suppressAutoHyphens w:val="0"/>
              <w:spacing w:after="0"/>
              <w:rPr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•</w:t>
            </w:r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Λειτουργικό: Windows 10 </w:t>
            </w:r>
            <w:proofErr w:type="spellStart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Pro</w:t>
            </w:r>
            <w:proofErr w:type="spellEnd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 ή νεότερο ή ισοδύναμο.</w:t>
            </w:r>
          </w:p>
          <w:p w14:paraId="32D5AF02" w14:textId="77777777" w:rsidR="00F03406" w:rsidRPr="002E7739" w:rsidRDefault="00F03406" w:rsidP="000A1635">
            <w:pPr>
              <w:suppressAutoHyphens w:val="0"/>
              <w:spacing w:after="0"/>
              <w:rPr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•</w:t>
            </w:r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Οθόνη: ≥ 15,6” (για laptop) ή ≥ 22” (για </w:t>
            </w:r>
            <w:proofErr w:type="spellStart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desktop</w:t>
            </w:r>
            <w:proofErr w:type="spellEnd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).</w:t>
            </w:r>
          </w:p>
          <w:p w14:paraId="4AA7B5E5" w14:textId="77777777" w:rsidR="00F03406" w:rsidRPr="002E7739" w:rsidRDefault="00F03406" w:rsidP="000A1635">
            <w:pPr>
              <w:suppressAutoHyphens w:val="0"/>
              <w:spacing w:after="0"/>
              <w:rPr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•</w:t>
            </w:r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Επεξεργαστής: ≥ </w:t>
            </w:r>
            <w:proofErr w:type="spellStart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Intel</w:t>
            </w:r>
            <w:proofErr w:type="spellEnd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 i5 / </w:t>
            </w:r>
            <w:proofErr w:type="spellStart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Ryzen</w:t>
            </w:r>
            <w:proofErr w:type="spellEnd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 5 ή ισοδύναμος.</w:t>
            </w:r>
          </w:p>
          <w:p w14:paraId="1EF9E7B0" w14:textId="77777777" w:rsidR="00F03406" w:rsidRPr="002E7739" w:rsidRDefault="00F03406" w:rsidP="000A1635">
            <w:pPr>
              <w:suppressAutoHyphens w:val="0"/>
              <w:spacing w:after="0"/>
              <w:rPr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•</w:t>
            </w:r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Μνήμη: ≥ 16 GB RAM.</w:t>
            </w:r>
          </w:p>
          <w:p w14:paraId="743A0813" w14:textId="77777777" w:rsidR="00F03406" w:rsidRPr="002E7739" w:rsidRDefault="00F03406" w:rsidP="000A1635">
            <w:pPr>
              <w:suppressAutoHyphens w:val="0"/>
              <w:spacing w:after="0"/>
              <w:rPr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•</w:t>
            </w:r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Αποθήκευση: ≥ 512 GB SSD </w:t>
            </w:r>
            <w:proofErr w:type="spellStart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NVMe</w:t>
            </w:r>
            <w:proofErr w:type="spellEnd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.</w:t>
            </w:r>
          </w:p>
          <w:p w14:paraId="7154C97E" w14:textId="77777777" w:rsidR="00F03406" w:rsidRPr="002E7739" w:rsidRDefault="00F03406" w:rsidP="000A1635">
            <w:pPr>
              <w:suppressAutoHyphens w:val="0"/>
              <w:spacing w:after="0"/>
              <w:rPr>
                <w:color w:val="000000"/>
                <w:sz w:val="20"/>
                <w:szCs w:val="20"/>
                <w:lang w:val="en-US" w:eastAsia="el-GR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n-US" w:eastAsia="en-US" w:bidi="he-IL"/>
              </w:rPr>
              <w:t>•</w:t>
            </w:r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Δικτύωση</w:t>
            </w:r>
            <w:r w:rsidRPr="002E7739">
              <w:rPr>
                <w:color w:val="000000"/>
                <w:sz w:val="20"/>
                <w:szCs w:val="20"/>
                <w:lang w:val="en-US" w:eastAsia="el-GR" w:bidi="he-IL"/>
              </w:rPr>
              <w:t>: Wi-Fi + Ethernet LAN + Bluetooth.</w:t>
            </w:r>
          </w:p>
          <w:p w14:paraId="5CC2EC12" w14:textId="77777777" w:rsidR="00F03406" w:rsidRPr="002E7739" w:rsidRDefault="00F03406" w:rsidP="000A1635">
            <w:pPr>
              <w:suppressAutoHyphens w:val="0"/>
              <w:spacing w:after="0"/>
              <w:rPr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•</w:t>
            </w:r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Περιλαμβάνεται: ποντίκι, πληκτρολόγιο, UPS 600 VA για προστασία.</w:t>
            </w:r>
          </w:p>
          <w:p w14:paraId="3CE74DC6" w14:textId="77777777" w:rsidR="00F03406" w:rsidRPr="002E7739" w:rsidRDefault="00F03406" w:rsidP="000A1635">
            <w:pPr>
              <w:suppressAutoHyphens w:val="0"/>
              <w:spacing w:after="0"/>
              <w:rPr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•</w:t>
            </w:r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Λογισμικό: Εγκατεστημένο και συνδεδεμένο λογισμικό του </w:t>
            </w:r>
            <w:proofErr w:type="spellStart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inverter</w:t>
            </w:r>
            <w:proofErr w:type="spellEnd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 για </w:t>
            </w:r>
            <w:proofErr w:type="spellStart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live</w:t>
            </w:r>
            <w:proofErr w:type="spellEnd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 </w:t>
            </w:r>
            <w:proofErr w:type="spellStart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monitoring</w:t>
            </w:r>
            <w:proofErr w:type="spellEnd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, ιστορικά, </w:t>
            </w:r>
            <w:proofErr w:type="spellStart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alarms</w:t>
            </w:r>
            <w:proofErr w:type="spellEnd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, </w:t>
            </w:r>
            <w:proofErr w:type="spellStart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parametric</w:t>
            </w:r>
            <w:proofErr w:type="spellEnd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 </w:t>
            </w:r>
            <w:proofErr w:type="spellStart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control</w:t>
            </w:r>
            <w:proofErr w:type="spellEnd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 &amp; </w:t>
            </w:r>
            <w:proofErr w:type="spellStart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firmware</w:t>
            </w:r>
            <w:proofErr w:type="spellEnd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 </w:t>
            </w:r>
            <w:proofErr w:type="spellStart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updates</w:t>
            </w:r>
            <w:proofErr w:type="spellEnd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.</w:t>
            </w:r>
          </w:p>
          <w:p w14:paraId="109F799A" w14:textId="77777777" w:rsidR="00F03406" w:rsidRPr="002E7739" w:rsidRDefault="00F03406" w:rsidP="000A1635">
            <w:pPr>
              <w:suppressAutoHyphens w:val="0"/>
              <w:spacing w:after="0"/>
              <w:rPr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Πρέπει να υποστηρίζει:</w:t>
            </w:r>
          </w:p>
          <w:p w14:paraId="5108C629" w14:textId="77777777" w:rsidR="00F03406" w:rsidRPr="002E7739" w:rsidRDefault="00F03406" w:rsidP="000A1635">
            <w:pPr>
              <w:suppressAutoHyphens w:val="0"/>
              <w:spacing w:after="0"/>
              <w:rPr>
                <w:color w:val="000000"/>
                <w:sz w:val="20"/>
                <w:szCs w:val="20"/>
                <w:lang w:val="el-GR" w:eastAsia="el-GR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l-GR" w:eastAsia="en-US" w:bidi="he-IL"/>
              </w:rPr>
              <w:t>•</w:t>
            </w:r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Καταγραφή δεδομένων (</w:t>
            </w:r>
            <w:proofErr w:type="spellStart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logging</w:t>
            </w:r>
            <w:proofErr w:type="spellEnd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 xml:space="preserve">) και δημιουργία </w:t>
            </w:r>
            <w:proofErr w:type="spellStart"/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reports</w:t>
            </w:r>
            <w:proofErr w:type="spellEnd"/>
          </w:p>
          <w:p w14:paraId="58A6FC18" w14:textId="77777777" w:rsidR="00F03406" w:rsidRPr="002E7739" w:rsidRDefault="00F03406" w:rsidP="000A1635">
            <w:pPr>
              <w:suppressAutoHyphens w:val="0"/>
              <w:spacing w:after="0"/>
              <w:rPr>
                <w:color w:val="000000"/>
                <w:sz w:val="20"/>
                <w:szCs w:val="20"/>
                <w:lang w:val="en-US" w:eastAsia="el-GR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n-US" w:eastAsia="en-US" w:bidi="he-IL"/>
              </w:rPr>
              <w:t>•</w:t>
            </w:r>
            <w:r w:rsidRPr="002E7739">
              <w:rPr>
                <w:color w:val="000000"/>
                <w:sz w:val="20"/>
                <w:szCs w:val="20"/>
                <w:lang w:val="en-US" w:eastAsia="el-GR" w:bidi="he-IL"/>
              </w:rPr>
              <w:t>Export-limit configuration</w:t>
            </w:r>
          </w:p>
          <w:p w14:paraId="1921FF76" w14:textId="77777777" w:rsidR="00F03406" w:rsidRPr="002E7739" w:rsidRDefault="00F03406" w:rsidP="000A1635">
            <w:pPr>
              <w:suppressAutoHyphens w:val="0"/>
              <w:spacing w:after="0"/>
              <w:rPr>
                <w:color w:val="000000"/>
                <w:sz w:val="20"/>
                <w:szCs w:val="20"/>
                <w:lang w:val="en-US" w:eastAsia="el-GR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n-US" w:eastAsia="en-US" w:bidi="he-IL"/>
              </w:rPr>
              <w:t>•</w:t>
            </w:r>
            <w:r w:rsidRPr="002E7739">
              <w:rPr>
                <w:color w:val="000000"/>
                <w:sz w:val="20"/>
                <w:szCs w:val="20"/>
                <w:lang w:val="en-US" w:eastAsia="el-GR" w:bidi="he-IL"/>
              </w:rPr>
              <w:t>Battery SoC control &amp; strategy</w:t>
            </w:r>
          </w:p>
          <w:p w14:paraId="48520412" w14:textId="77777777" w:rsidR="00F03406" w:rsidRPr="002E7739" w:rsidRDefault="00F03406" w:rsidP="000A1635">
            <w:pPr>
              <w:suppressAutoHyphens w:val="0"/>
              <w:spacing w:after="0"/>
              <w:rPr>
                <w:color w:val="000000"/>
                <w:sz w:val="20"/>
                <w:szCs w:val="20"/>
                <w:lang w:val="en-US" w:eastAsia="el-GR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n-US" w:eastAsia="en-US" w:bidi="he-IL"/>
              </w:rPr>
              <w:t>•</w:t>
            </w:r>
            <w:r w:rsidRPr="002E7739">
              <w:rPr>
                <w:color w:val="000000"/>
                <w:sz w:val="20"/>
                <w:szCs w:val="20"/>
                <w:lang w:val="en-US" w:eastAsia="el-GR" w:bidi="he-IL"/>
              </w:rPr>
              <w:t>Load prioritization &amp; scheduling</w:t>
            </w:r>
          </w:p>
          <w:p w14:paraId="0D72F4D8" w14:textId="77777777" w:rsidR="00F03406" w:rsidRPr="002E7739" w:rsidRDefault="00F03406" w:rsidP="000A1635">
            <w:pPr>
              <w:suppressAutoHyphens w:val="0"/>
              <w:spacing w:after="0"/>
              <w:rPr>
                <w:color w:val="000000"/>
                <w:sz w:val="20"/>
                <w:szCs w:val="20"/>
                <w:lang w:val="en-US" w:eastAsia="el-GR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n-US" w:eastAsia="en-US" w:bidi="he-IL"/>
              </w:rPr>
              <w:t>•</w:t>
            </w:r>
            <w:r w:rsidRPr="002E7739">
              <w:rPr>
                <w:color w:val="000000"/>
                <w:sz w:val="20"/>
                <w:szCs w:val="20"/>
                <w:lang w:val="en-US" w:eastAsia="el-GR" w:bidi="he-IL"/>
              </w:rPr>
              <w:t>Peak-shaving / time-of-use management</w:t>
            </w:r>
          </w:p>
          <w:p w14:paraId="0E27AED4" w14:textId="77777777" w:rsidR="00F03406" w:rsidRPr="002E7739" w:rsidRDefault="00F03406" w:rsidP="000A1635">
            <w:pPr>
              <w:suppressAutoHyphens w:val="0"/>
              <w:spacing w:after="0"/>
              <w:rPr>
                <w:color w:val="000000"/>
                <w:sz w:val="20"/>
                <w:szCs w:val="20"/>
                <w:lang w:val="en-US" w:eastAsia="el-GR" w:bidi="he-IL"/>
              </w:rPr>
            </w:pPr>
            <w:r w:rsidRPr="002E7739">
              <w:rPr>
                <w:rFonts w:eastAsia="Aptos"/>
                <w:kern w:val="2"/>
                <w:sz w:val="20"/>
                <w:szCs w:val="20"/>
                <w:lang w:val="en-US" w:eastAsia="en-US" w:bidi="he-IL"/>
              </w:rPr>
              <w:t>•</w:t>
            </w:r>
            <w:r w:rsidRPr="002E7739">
              <w:rPr>
                <w:color w:val="000000"/>
                <w:sz w:val="20"/>
                <w:szCs w:val="20"/>
                <w:lang w:val="en-US" w:eastAsia="el-GR" w:bidi="he-IL"/>
              </w:rPr>
              <w:t>Remote secure access (VPN / Cloud)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C2E0" w14:textId="77777777" w:rsidR="00F03406" w:rsidRPr="002E7739" w:rsidRDefault="00F03406" w:rsidP="000A1635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n-US" w:eastAsia="el-GR" w:bidi="he-IL"/>
              </w:rPr>
            </w:pPr>
            <w:r w:rsidRPr="002E7739">
              <w:rPr>
                <w:color w:val="000000"/>
                <w:sz w:val="20"/>
                <w:szCs w:val="20"/>
                <w:lang w:val="el-GR" w:eastAsia="el-GR" w:bidi="he-IL"/>
              </w:rPr>
              <w:t>ΝΑΙ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2C645" w14:textId="77777777" w:rsidR="00F03406" w:rsidRPr="002E7739" w:rsidRDefault="00F03406" w:rsidP="000A1635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n-US" w:eastAsia="el-GR" w:bidi="he-IL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D1611" w14:textId="77777777" w:rsidR="00F03406" w:rsidRPr="002E7739" w:rsidRDefault="00F03406" w:rsidP="000A1635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n-US" w:eastAsia="el-GR" w:bidi="he-IL"/>
              </w:rPr>
            </w:pPr>
          </w:p>
        </w:tc>
      </w:tr>
    </w:tbl>
    <w:p w14:paraId="604649EE" w14:textId="77777777" w:rsidR="00F03406" w:rsidRPr="002E7739" w:rsidRDefault="00F03406" w:rsidP="00F03406">
      <w:pPr>
        <w:spacing w:after="0"/>
        <w:rPr>
          <w:b/>
          <w:bCs/>
          <w:sz w:val="20"/>
          <w:szCs w:val="20"/>
          <w:lang w:val="en-US"/>
        </w:rPr>
      </w:pPr>
      <w:bookmarkStart w:id="0" w:name="_Hlk171635223"/>
    </w:p>
    <w:p w14:paraId="038F1E35" w14:textId="77777777" w:rsidR="00F03406" w:rsidRPr="002E7739" w:rsidRDefault="00F03406" w:rsidP="00F03406">
      <w:pPr>
        <w:spacing w:after="0"/>
        <w:rPr>
          <w:rFonts w:ascii="Aptos" w:eastAsia="Aptos" w:hAnsi="Aptos" w:cs="Arial"/>
          <w:kern w:val="2"/>
          <w:szCs w:val="22"/>
          <w:lang w:val="el-GR" w:eastAsia="en-US" w:bidi="he-IL"/>
        </w:rPr>
      </w:pPr>
      <w:r w:rsidRPr="002E7739">
        <w:rPr>
          <w:b/>
          <w:bCs/>
          <w:sz w:val="20"/>
          <w:szCs w:val="20"/>
          <w:lang w:val="el-GR"/>
        </w:rPr>
        <w:t xml:space="preserve">Υποβάλλεται προσφορά: πρέπει να συμπληρωθούν και να υποβληθούν στον </w:t>
      </w:r>
      <w:proofErr w:type="spellStart"/>
      <w:r w:rsidRPr="002E7739">
        <w:rPr>
          <w:b/>
          <w:bCs/>
          <w:sz w:val="20"/>
          <w:szCs w:val="20"/>
          <w:lang w:val="el-GR"/>
        </w:rPr>
        <w:t>υποφάκελο</w:t>
      </w:r>
      <w:proofErr w:type="spellEnd"/>
      <w:r w:rsidRPr="002E7739">
        <w:rPr>
          <w:b/>
          <w:bCs/>
          <w:sz w:val="20"/>
          <w:szCs w:val="20"/>
          <w:lang w:val="el-GR"/>
        </w:rPr>
        <w:t xml:space="preserve"> της Τεχνικής Προσφοράς, ψηφιακά υπογεγραμμένοι, οι αντίστοιχοι Πίνακες Συμμόρφωσης.</w:t>
      </w:r>
      <w:bookmarkEnd w:id="0"/>
    </w:p>
    <w:p w14:paraId="24869C91" w14:textId="77777777" w:rsidR="00F03406" w:rsidRDefault="00F03406" w:rsidP="00F03406">
      <w:pPr>
        <w:suppressAutoHyphens w:val="0"/>
        <w:spacing w:after="200" w:line="276" w:lineRule="auto"/>
        <w:jc w:val="left"/>
        <w:rPr>
          <w:rFonts w:eastAsia="Calibri" w:cs="Arial"/>
          <w:b/>
          <w:bCs/>
          <w:iCs/>
          <w:szCs w:val="22"/>
          <w:lang w:val="el-GR" w:eastAsia="en-US"/>
        </w:rPr>
      </w:pPr>
    </w:p>
    <w:p w14:paraId="5B311AD3" w14:textId="77777777" w:rsidR="00F03406" w:rsidRDefault="00F03406" w:rsidP="00F03406">
      <w:pPr>
        <w:suppressAutoHyphens w:val="0"/>
        <w:spacing w:after="200" w:line="276" w:lineRule="auto"/>
        <w:jc w:val="left"/>
        <w:rPr>
          <w:rFonts w:eastAsia="Calibri" w:cs="Arial"/>
          <w:b/>
          <w:bCs/>
          <w:iCs/>
          <w:szCs w:val="22"/>
          <w:lang w:val="el-GR" w:eastAsia="en-US"/>
        </w:rPr>
      </w:pPr>
    </w:p>
    <w:p w14:paraId="05DEFAAE" w14:textId="77777777" w:rsidR="00F03406" w:rsidRDefault="00F03406" w:rsidP="00F03406">
      <w:pPr>
        <w:suppressAutoHyphens w:val="0"/>
        <w:spacing w:after="200" w:line="276" w:lineRule="auto"/>
        <w:jc w:val="left"/>
        <w:rPr>
          <w:rFonts w:eastAsia="Calibri" w:cs="Arial"/>
          <w:b/>
          <w:bCs/>
          <w:iCs/>
          <w:szCs w:val="22"/>
          <w:lang w:val="el-GR" w:eastAsia="en-US"/>
        </w:rPr>
      </w:pPr>
    </w:p>
    <w:p w14:paraId="56439983" w14:textId="77777777" w:rsidR="00F03406" w:rsidRDefault="00F03406" w:rsidP="00F03406">
      <w:pPr>
        <w:suppressAutoHyphens w:val="0"/>
        <w:spacing w:after="200" w:line="276" w:lineRule="auto"/>
        <w:jc w:val="left"/>
        <w:rPr>
          <w:rFonts w:eastAsia="Calibri" w:cs="Arial"/>
          <w:b/>
          <w:bCs/>
          <w:iCs/>
          <w:szCs w:val="22"/>
          <w:lang w:val="el-GR" w:eastAsia="en-US"/>
        </w:rPr>
      </w:pPr>
    </w:p>
    <w:p w14:paraId="7A65082F" w14:textId="77777777" w:rsidR="00F03406" w:rsidRDefault="00F03406" w:rsidP="00F03406">
      <w:pPr>
        <w:suppressAutoHyphens w:val="0"/>
        <w:spacing w:after="200" w:line="276" w:lineRule="auto"/>
        <w:jc w:val="left"/>
        <w:rPr>
          <w:rFonts w:eastAsia="Calibri" w:cs="Arial"/>
          <w:b/>
          <w:bCs/>
          <w:iCs/>
          <w:szCs w:val="22"/>
          <w:lang w:val="el-GR" w:eastAsia="en-US"/>
        </w:rPr>
      </w:pPr>
    </w:p>
    <w:p w14:paraId="10F7EBDD" w14:textId="77777777" w:rsidR="00F03406" w:rsidRDefault="00F03406" w:rsidP="00F03406">
      <w:pPr>
        <w:suppressAutoHyphens w:val="0"/>
        <w:spacing w:after="200" w:line="276" w:lineRule="auto"/>
        <w:jc w:val="left"/>
        <w:rPr>
          <w:rFonts w:eastAsia="Calibri" w:cs="Arial"/>
          <w:b/>
          <w:bCs/>
          <w:iCs/>
          <w:szCs w:val="22"/>
          <w:lang w:val="el-GR" w:eastAsia="en-US"/>
        </w:rPr>
      </w:pPr>
    </w:p>
    <w:p w14:paraId="12202945" w14:textId="77777777" w:rsidR="00F03406" w:rsidRDefault="00F03406" w:rsidP="00F03406">
      <w:pPr>
        <w:suppressAutoHyphens w:val="0"/>
        <w:spacing w:after="200" w:line="276" w:lineRule="auto"/>
        <w:jc w:val="left"/>
        <w:rPr>
          <w:rFonts w:eastAsia="Calibri" w:cs="Arial"/>
          <w:b/>
          <w:bCs/>
          <w:iCs/>
          <w:szCs w:val="22"/>
          <w:lang w:val="el-GR" w:eastAsia="en-US"/>
        </w:rPr>
      </w:pPr>
    </w:p>
    <w:p w14:paraId="03A9A855" w14:textId="77777777" w:rsidR="00F87D5F" w:rsidRPr="00F03406" w:rsidRDefault="00F87D5F">
      <w:pPr>
        <w:rPr>
          <w:lang w:val="el-GR"/>
        </w:rPr>
      </w:pPr>
    </w:p>
    <w:sectPr w:rsidR="00F87D5F" w:rsidRPr="00F034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72A3B"/>
    <w:multiLevelType w:val="hybridMultilevel"/>
    <w:tmpl w:val="C542F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61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06"/>
    <w:rsid w:val="0023443C"/>
    <w:rsid w:val="00933B38"/>
    <w:rsid w:val="00F03406"/>
    <w:rsid w:val="00F8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0E8E"/>
  <w15:chartTrackingRefBased/>
  <w15:docId w15:val="{3292978F-D29F-4E46-BD85-096321CA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406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F03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nhideWhenUsed/>
    <w:qFormat/>
    <w:rsid w:val="00F03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03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03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03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03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03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03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03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03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rsid w:val="00F03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03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0340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0340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0340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0340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0340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034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034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03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03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03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03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0340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0340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0340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03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0340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034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1265</Words>
  <Characters>6837</Characters>
  <Application>Microsoft Office Word</Application>
  <DocSecurity>0</DocSecurity>
  <Lines>56</Lines>
  <Paragraphs>16</Paragraphs>
  <ScaleCrop>false</ScaleCrop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Theodora Kalogeropoulou</dc:creator>
  <cp:keywords/>
  <dc:description/>
  <cp:lastModifiedBy>Theodora Kalogeropoulou</cp:lastModifiedBy>
  <cp:revision>1</cp:revision>
  <dcterms:created xsi:type="dcterms:W3CDTF">2025-12-17T16:41:00Z</dcterms:created>
  <dcterms:modified xsi:type="dcterms:W3CDTF">2025-12-17T16:41:00Z</dcterms:modified>
</cp:coreProperties>
</file>